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2607945</wp:posOffset>
                </wp:positionH>
                <wp:positionV relativeFrom="paragraph">
                  <wp:posOffset>-375285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3pt;mso-position-horizontal:absolute;mso-position-vertical-relative:text;margin-top:-29.5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tabs>
          <w:tab w:val="left" w:pos="1185" w:leader="none"/>
        </w:tabs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ab/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 Р И К А З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22.05.2026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31-3</w:t>
            </w:r>
            <w:bookmarkStart w:id="0" w:name="_GoBack"/>
            <w:r/>
            <w:bookmarkEnd w:id="0"/>
            <w:r>
              <w:rPr>
                <w:sz w:val="26"/>
                <w:szCs w:val="26"/>
                <w:lang w:eastAsia="ru-RU"/>
              </w:rPr>
              <w:t xml:space="preserve">8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7"/>
          <w:szCs w:val="27"/>
          <w:lang w:eastAsia="ru-RU"/>
        </w:rPr>
        <w:outlineLvl w:val="2"/>
      </w:pPr>
      <w:r>
        <w:rPr>
          <w:b/>
          <w:sz w:val="27"/>
          <w:szCs w:val="27"/>
          <w:lang w:eastAsia="ru-RU"/>
        </w:rPr>
      </w:r>
      <w:r/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установлении тарифов на тепловую энергию (мощность), поставляемую потребителям МКП ЖКХ «Альянс» на территории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р.п. Золотаревка Пензенского района Пензенской области</w:t>
      </w:r>
      <w:r>
        <w:rPr>
          <w:b/>
          <w:sz w:val="27"/>
          <w:szCs w:val="27"/>
        </w:rPr>
        <w:t xml:space="preserve">, на 2026 год</w:t>
      </w:r>
      <w:r/>
    </w:p>
    <w:p>
      <w:pPr>
        <w:ind w:firstLine="709"/>
        <w:jc w:val="center"/>
        <w:rPr>
          <w:b/>
          <w:sz w:val="27"/>
          <w:szCs w:val="27"/>
          <w:highlight w:val="yellow"/>
          <w:lang w:eastAsia="ru-RU"/>
        </w:rPr>
      </w:pPr>
      <w:r>
        <w:rPr>
          <w:b/>
          <w:sz w:val="27"/>
          <w:szCs w:val="27"/>
          <w:highlight w:val="yellow"/>
          <w:lang w:eastAsia="ru-RU"/>
        </w:rPr>
      </w:r>
      <w:r/>
    </w:p>
    <w:p>
      <w:pPr>
        <w:ind w:firstLine="709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Федеральным законом от 27.07.2010 № 190-ФЗ «О теплоснабжении» </w:t>
      </w:r>
      <w:bookmarkStart w:id="1" w:name="_Hlk152942271"/>
      <w:r>
        <w:rPr>
          <w:color w:val="000000"/>
          <w:sz w:val="27"/>
          <w:szCs w:val="27"/>
        </w:rPr>
        <w:t xml:space="preserve">(с последующими изменениями), постановлением Правительства</w:t>
      </w:r>
      <w:bookmarkEnd w:id="1"/>
      <w:r>
        <w:rPr>
          <w:color w:val="000000"/>
          <w:sz w:val="27"/>
          <w:szCs w:val="27"/>
        </w:rPr>
        <w:t xml:space="preserve"> Российской Федерации от 22.10.2012 № 1075 «О ценообразовании в сфер</w:t>
      </w:r>
      <w:r>
        <w:rPr>
          <w:color w:val="000000"/>
          <w:sz w:val="27"/>
          <w:szCs w:val="27"/>
        </w:rPr>
        <w:t xml:space="preserve">е теплоснабжения» (с последующими изменениями), приказом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 (с последующими изменениями), </w:t>
      </w:r>
      <w:r>
        <w:rPr>
          <w:sz w:val="27"/>
          <w:szCs w:val="27"/>
        </w:rPr>
        <w:t xml:space="preserve">Положением о Министерстве по тарифному регулированию</w:t>
      </w:r>
      <w:r>
        <w:rPr>
          <w:sz w:val="27"/>
          <w:szCs w:val="27"/>
        </w:rPr>
        <w:t xml:space="preserve"> и государственным закупкам Пензенской области, утвержденным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остановлением Правительства Пензенской области от 17.02.2026 № 111-пП (с последующими изменениями), на основании протокола заседания Правления Министерства по тарифному регулированию и государственным закупкам Пензенской области от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22</w:t>
      </w:r>
      <w:r>
        <w:rPr>
          <w:sz w:val="27"/>
          <w:szCs w:val="27"/>
        </w:rPr>
        <w:t xml:space="preserve"> мая </w:t>
      </w:r>
      <w:r>
        <w:rPr>
          <w:sz w:val="27"/>
          <w:szCs w:val="27"/>
        </w:rPr>
        <w:t xml:space="preserve">2026</w:t>
      </w:r>
      <w:r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16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</w:t>
      </w:r>
      <w:r>
        <w:rPr>
          <w:b/>
          <w:sz w:val="27"/>
          <w:szCs w:val="27"/>
        </w:rPr>
        <w:t xml:space="preserve"> р и к а з ы в а ю</w:t>
      </w:r>
      <w:r>
        <w:rPr>
          <w:sz w:val="27"/>
          <w:szCs w:val="27"/>
        </w:rPr>
        <w:t xml:space="preserve">:</w:t>
      </w:r>
      <w:r/>
    </w:p>
    <w:p>
      <w:pPr>
        <w:pStyle w:val="423"/>
        <w:ind w:firstLine="709"/>
        <w:jc w:val="both"/>
        <w:tabs>
          <w:tab w:val="left" w:pos="567" w:leader="none"/>
        </w:tabs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1. Установить тарифы на тепловую энергию (мощность), поставляемую потребителям МКП ЖКХ «Альянс» на территории р.п. Золотаревка Пензенского района Пензенской области, на 2026 год согласно Приложению к настоящему приказу.</w:t>
      </w:r>
      <w:r/>
    </w:p>
    <w:p>
      <w:pPr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  <w:lang w:eastAsia="ru-RU"/>
        </w:rPr>
        <w:t xml:space="preserve">2.</w:t>
      </w:r>
      <w:r>
        <w:rPr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</w:rPr>
        <w:t xml:space="preserve">Тарифы, установленные в пункте 1 на</w:t>
      </w:r>
      <w:r>
        <w:rPr>
          <w:color w:val="000000"/>
          <w:sz w:val="27"/>
          <w:szCs w:val="27"/>
        </w:rPr>
        <w:t xml:space="preserve">стоящего приказа, действуют с 22.05</w:t>
      </w:r>
      <w:r>
        <w:rPr>
          <w:color w:val="000000"/>
          <w:sz w:val="27"/>
          <w:szCs w:val="27"/>
        </w:rPr>
        <w:t xml:space="preserve">.2026 по 31.12.2026.</w:t>
      </w:r>
      <w:r/>
    </w:p>
    <w:p>
      <w:pPr>
        <w:ind w:firstLine="709"/>
        <w:jc w:val="both"/>
        <w:tabs>
          <w:tab w:val="left" w:pos="993" w:leader="none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</w:t>
      </w:r>
      <w:r>
        <w:rPr>
          <w:color w:val="000000"/>
          <w:sz w:val="27"/>
          <w:szCs w:val="27"/>
        </w:rPr>
        <w:t xml:space="preserve">. Настоящий приказ ра</w:t>
      </w:r>
      <w:r>
        <w:rPr>
          <w:color w:val="000000"/>
          <w:sz w:val="27"/>
          <w:szCs w:val="27"/>
        </w:rPr>
        <w:t xml:space="preserve">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 и «Официальном интернет-портале правовой информации» (www.pravo.gov.ru).</w:t>
      </w:r>
      <w:r/>
    </w:p>
    <w:p>
      <w:pPr>
        <w:pStyle w:val="423"/>
        <w:ind w:firstLine="709"/>
        <w:jc w:val="both"/>
        <w:tabs>
          <w:tab w:val="left" w:pos="567" w:leader="none"/>
          <w:tab w:val="left" w:pos="851" w:leader="none"/>
        </w:tabs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4</w:t>
      </w:r>
      <w:r>
        <w:rPr>
          <w:sz w:val="27"/>
          <w:szCs w:val="27"/>
          <w:lang w:eastAsia="ru-RU"/>
        </w:rPr>
        <w:t xml:space="preserve">.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Настоящий приказ вступает в силу с </w:t>
      </w:r>
      <w:r>
        <w:rPr>
          <w:sz w:val="27"/>
          <w:szCs w:val="27"/>
          <w:lang w:eastAsia="ru-RU"/>
        </w:rPr>
        <w:t xml:space="preserve">2</w:t>
      </w:r>
      <w:r>
        <w:rPr>
          <w:sz w:val="27"/>
          <w:szCs w:val="27"/>
          <w:lang w:eastAsia="ru-RU"/>
        </w:rPr>
        <w:t xml:space="preserve">2 мая</w:t>
      </w:r>
      <w:r>
        <w:rPr>
          <w:sz w:val="27"/>
          <w:szCs w:val="27"/>
          <w:lang w:eastAsia="ru-RU"/>
        </w:rPr>
        <w:t xml:space="preserve"> 2026 года.</w:t>
      </w:r>
      <w:r/>
    </w:p>
    <w:p>
      <w:pPr>
        <w:pStyle w:val="423"/>
        <w:ind w:firstLine="709"/>
        <w:jc w:val="both"/>
        <w:tabs>
          <w:tab w:val="left" w:pos="567" w:leader="none"/>
          <w:tab w:val="left" w:pos="851" w:leader="none"/>
        </w:tabs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5</w:t>
      </w:r>
      <w:r>
        <w:rPr>
          <w:sz w:val="27"/>
          <w:szCs w:val="27"/>
          <w:lang w:eastAsia="ru-RU"/>
        </w:rPr>
        <w:t xml:space="preserve">.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Контроль за исполнением настоящего приказа оставляю за собой</w:t>
      </w:r>
      <w:r>
        <w:rPr>
          <w:sz w:val="27"/>
          <w:szCs w:val="27"/>
          <w:lang w:eastAsia="ru-RU"/>
        </w:rPr>
        <w:t xml:space="preserve">.</w:t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both"/>
        <w:tabs>
          <w:tab w:val="left" w:pos="0" w:leader="none"/>
          <w:tab w:val="left" w:pos="45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Министр                                           </w:t>
      </w:r>
      <w:r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                  </w:t>
      </w:r>
      <w:r>
        <w:rPr>
          <w:sz w:val="27"/>
          <w:szCs w:val="27"/>
        </w:rPr>
        <w:t xml:space="preserve">Д.И. Сагайдачный</w:t>
      </w:r>
      <w:r/>
    </w:p>
    <w:p>
      <w:pPr>
        <w:pStyle w:val="42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424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24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к приказ</w:t>
      </w:r>
      <w:r>
        <w:rPr>
          <w:sz w:val="27"/>
          <w:szCs w:val="27"/>
          <w:lang w:val="ru-RU"/>
        </w:rPr>
        <w:t xml:space="preserve">у</w:t>
      </w:r>
      <w:r>
        <w:rPr>
          <w:sz w:val="27"/>
          <w:szCs w:val="27"/>
        </w:rPr>
        <w:t xml:space="preserve"> </w:t>
      </w:r>
      <w:r/>
    </w:p>
    <w:p>
      <w:pPr>
        <w:ind w:right="-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Министерства по тарифному регулированию</w:t>
      </w:r>
      <w:r/>
    </w:p>
    <w:p>
      <w:pPr>
        <w:ind w:right="-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и государственным закупкам Пензенской области</w:t>
      </w:r>
      <w:r/>
    </w:p>
    <w:p>
      <w:pPr>
        <w:pStyle w:val="424"/>
        <w:jc w:val="right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от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22.05.2026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  <w:lang w:val="ru-RU"/>
        </w:rPr>
        <w:t xml:space="preserve">31-38</w:t>
      </w:r>
      <w:r/>
    </w:p>
    <w:p>
      <w:pPr>
        <w:pStyle w:val="424"/>
        <w:jc w:val="right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  <w:r/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ТАРИФЫ НА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 xml:space="preserve">ТЕПЛОВУЮ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 xml:space="preserve">ЭНЕРГИЮ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 xml:space="preserve">(МОЩНОСТЬ),</w:t>
      </w:r>
      <w:r/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ПОСТАВЛЯЕМУЮ</w:t>
      </w:r>
      <w:r>
        <w:rPr>
          <w:spacing w:val="-12"/>
          <w:sz w:val="27"/>
          <w:szCs w:val="27"/>
        </w:rPr>
        <w:t xml:space="preserve"> </w:t>
      </w:r>
      <w:r>
        <w:rPr>
          <w:sz w:val="27"/>
          <w:szCs w:val="27"/>
        </w:rPr>
        <w:t xml:space="preserve">ПОТРЕБИТЕЛЯМ МКП ЖКХ «АЛЬЯНС» НА ТЕРРИТОРИИ Р.П. ЗОЛОТАРЕВКА ПЕНЗЕНСКОГО РАЙОНА ПЕНЗЕНСКОЙ ОБЛАСТИ, НА 2026 ГОД</w:t>
      </w:r>
      <w:r/>
    </w:p>
    <w:p>
      <w:pPr>
        <w:pStyle w:val="426"/>
        <w:spacing w:before="11"/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03"/>
        <w:gridCol w:w="2951"/>
        <w:gridCol w:w="1714"/>
        <w:gridCol w:w="17"/>
        <w:gridCol w:w="2510"/>
        <w:gridCol w:w="28"/>
        <w:gridCol w:w="1655"/>
      </w:tblGrid>
      <w:tr>
        <w:trPr/>
        <w:tc>
          <w:tcPr>
            <w:tcW w:w="31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п/п</w:t>
            </w:r>
            <w:r/>
          </w:p>
        </w:tc>
        <w:tc>
          <w:tcPr>
            <w:tcW w:w="15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регулируемой организации</w:t>
            </w:r>
            <w:r/>
          </w:p>
        </w:tc>
        <w:tc>
          <w:tcPr>
            <w:tcW w:w="90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Вид тарифа</w:t>
            </w:r>
            <w:r/>
          </w:p>
        </w:tc>
        <w:tc>
          <w:tcPr>
            <w:gridSpan w:val="2"/>
            <w:tcW w:w="1333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Год</w:t>
            </w:r>
            <w:r/>
          </w:p>
        </w:tc>
        <w:tc>
          <w:tcPr>
            <w:gridSpan w:val="2"/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Вода</w:t>
            </w:r>
            <w:r/>
          </w:p>
        </w:tc>
      </w:tr>
      <w:tr>
        <w:trPr/>
        <w:tc>
          <w:tcPr>
            <w:tcW w:w="31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55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МКП ЖКХ «Альянс»</w:t>
            </w:r>
            <w:r/>
          </w:p>
        </w:tc>
        <w:tc>
          <w:tcPr>
            <w:gridSpan w:val="5"/>
            <w:tcW w:w="312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Для потребителей, в случае отсутствия дифференциации тарифов по схемам подключения </w:t>
            </w:r>
            <w:r/>
          </w:p>
        </w:tc>
      </w:tr>
      <w:tr>
        <w:trPr>
          <w:trHeight w:val="156"/>
        </w:trPr>
        <w:tc>
          <w:tcPr>
            <w:tcW w:w="31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91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одноставочный руб./Гкал </w:t>
            </w:r>
            <w:r/>
          </w:p>
        </w:tc>
        <w:tc>
          <w:tcPr>
            <w:gridSpan w:val="2"/>
            <w:tcW w:w="133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22.05</w:t>
            </w:r>
            <w:r>
              <w:rPr>
                <w:bCs/>
              </w:rPr>
              <w:t xml:space="preserve">.2026 по 30.09.2026</w:t>
            </w:r>
            <w:r>
              <w:rPr>
                <w:bCs/>
              </w:rPr>
              <w:t xml:space="preserve"> </w:t>
            </w:r>
            <w:r/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2</w:t>
            </w:r>
            <w:r>
              <w:t xml:space="preserve"> </w:t>
            </w:r>
            <w:r>
              <w:t xml:space="preserve">475,79</w:t>
            </w:r>
            <w:r/>
          </w:p>
        </w:tc>
      </w:tr>
      <w:tr>
        <w:trPr/>
        <w:tc>
          <w:tcPr>
            <w:tcW w:w="31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913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33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01.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0.2026 по 31.12</w:t>
            </w:r>
            <w:r>
              <w:rPr>
                <w:bCs/>
              </w:rPr>
              <w:t xml:space="preserve">.2026</w:t>
            </w:r>
            <w:r/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2</w:t>
            </w:r>
            <w:r>
              <w:t xml:space="preserve"> </w:t>
            </w:r>
            <w:r>
              <w:t xml:space="preserve">8</w:t>
            </w:r>
            <w:r>
              <w:t xml:space="preserve">02,08</w:t>
            </w:r>
            <w:r/>
          </w:p>
        </w:tc>
      </w:tr>
      <w:tr>
        <w:trPr/>
        <w:tc>
          <w:tcPr>
            <w:tcW w:w="31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312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Население (тарифы указываются с учетом НДС) </w:t>
            </w:r>
            <w:hyperlink r:id="rId10" w:tooltip="consultantplus://offline/ref=9DEC2CDE4A9FB1613EA72E34D30A4CA58E44BAB26B36F63213B2D877DC45E9303B97919F981F776882CD12FDV7I" w:history="1">
              <w:r>
                <w:t xml:space="preserve">&lt;*&gt; </w:t>
              </w:r>
            </w:hyperlink>
            <w:r/>
            <w:r/>
          </w:p>
        </w:tc>
      </w:tr>
      <w:tr>
        <w:trPr>
          <w:trHeight w:val="191"/>
        </w:trPr>
        <w:tc>
          <w:tcPr>
            <w:tcW w:w="31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91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одноставочный руб./Гкал </w:t>
            </w:r>
            <w:r/>
          </w:p>
        </w:tc>
        <w:tc>
          <w:tcPr>
            <w:gridSpan w:val="2"/>
            <w:tcW w:w="133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 xml:space="preserve">22.05.2026 </w:t>
            </w:r>
            <w:r>
              <w:rPr>
                <w:bCs/>
              </w:rPr>
              <w:t xml:space="preserve">по 30.09.2026</w:t>
            </w:r>
            <w:r>
              <w:rPr>
                <w:bCs/>
              </w:rPr>
              <w:t xml:space="preserve"> </w:t>
            </w:r>
            <w:r/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2</w:t>
            </w:r>
            <w:r>
              <w:t xml:space="preserve"> 599,58</w:t>
            </w:r>
            <w:r>
              <w:t xml:space="preserve"> </w:t>
            </w:r>
            <w:r/>
          </w:p>
        </w:tc>
      </w:tr>
      <w:tr>
        <w:trPr/>
        <w:tc>
          <w:tcPr>
            <w:tcW w:w="31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913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33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01.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0.2026 по 31.12</w:t>
            </w:r>
            <w:r>
              <w:rPr>
                <w:bCs/>
              </w:rPr>
              <w:t xml:space="preserve">.2026</w:t>
            </w:r>
            <w:r/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2 942,18</w:t>
            </w:r>
            <w:r>
              <w:t xml:space="preserve"> </w:t>
            </w:r>
            <w:r/>
          </w:p>
        </w:tc>
      </w:tr>
    </w:tbl>
    <w:p>
      <w:pPr>
        <w:ind w:left="-8" w:firstLine="717"/>
        <w:jc w:val="both"/>
        <w:spacing w:before="92"/>
      </w:pPr>
      <w:r>
        <w:t xml:space="preserve">&lt;*&gt;</w:t>
      </w:r>
      <w:r>
        <w:rPr>
          <w:spacing w:val="20"/>
        </w:rPr>
        <w:t xml:space="preserve"> </w:t>
      </w:r>
      <w:r>
        <w:t xml:space="preserve">Выделяется</w:t>
      </w:r>
      <w:r>
        <w:rPr>
          <w:spacing w:val="20"/>
        </w:rPr>
        <w:t xml:space="preserve"> </w:t>
      </w:r>
      <w:r>
        <w:t xml:space="preserve">в</w:t>
      </w:r>
      <w:r>
        <w:rPr>
          <w:spacing w:val="20"/>
        </w:rPr>
        <w:t xml:space="preserve"> </w:t>
      </w:r>
      <w:r>
        <w:t xml:space="preserve">целях</w:t>
      </w:r>
      <w:r>
        <w:rPr>
          <w:spacing w:val="19"/>
        </w:rPr>
        <w:t xml:space="preserve"> </w:t>
      </w:r>
      <w:r>
        <w:rPr>
          <w:color w:val="000000" w:themeColor="text1"/>
        </w:rPr>
        <w:t xml:space="preserve">реализации</w:t>
      </w:r>
      <w:r>
        <w:rPr>
          <w:color w:val="000000" w:themeColor="text1"/>
          <w:spacing w:val="23"/>
        </w:rPr>
        <w:t xml:space="preserve"> </w:t>
      </w:r>
      <w:hyperlink r:id="rId11" w:tooltip="consultantplus://offline/ref%3D45CAD77840989460C1F19F95DF4B58957112F98699C8DD5E3AC9B9BFDC98218C8A7E67A6D769E6C4w8VCI" w:history="1">
        <w:r>
          <w:rPr>
            <w:color w:val="000000" w:themeColor="text1"/>
          </w:rPr>
          <w:t xml:space="preserve">пункта</w:t>
        </w:r>
        <w:r>
          <w:rPr>
            <w:color w:val="000000" w:themeColor="text1"/>
            <w:spacing w:val="17"/>
          </w:rPr>
          <w:t xml:space="preserve"> </w:t>
        </w:r>
        <w:r>
          <w:rPr>
            <w:color w:val="000000" w:themeColor="text1"/>
          </w:rPr>
          <w:t xml:space="preserve">6</w:t>
        </w:r>
        <w:r>
          <w:rPr>
            <w:color w:val="000000" w:themeColor="text1"/>
            <w:spacing w:val="20"/>
          </w:rPr>
          <w:t xml:space="preserve"> </w:t>
        </w:r>
        <w:r>
          <w:rPr>
            <w:color w:val="000000" w:themeColor="text1"/>
          </w:rPr>
          <w:t xml:space="preserve">статьи</w:t>
        </w:r>
        <w:r>
          <w:rPr>
            <w:color w:val="000000" w:themeColor="text1"/>
            <w:spacing w:val="21"/>
          </w:rPr>
          <w:t xml:space="preserve"> </w:t>
        </w:r>
        <w:r>
          <w:rPr>
            <w:color w:val="000000" w:themeColor="text1"/>
          </w:rPr>
          <w:t xml:space="preserve">168</w:t>
        </w:r>
        <w:r>
          <w:rPr>
            <w:color w:val="000000" w:themeColor="text1"/>
            <w:spacing w:val="22"/>
          </w:rPr>
          <w:t xml:space="preserve"> </w:t>
        </w:r>
      </w:hyperlink>
      <w:r>
        <w:rPr>
          <w:color w:val="000000" w:themeColor="text1"/>
        </w:rPr>
        <w:t xml:space="preserve">Налогового</w:t>
      </w:r>
      <w:r>
        <w:rPr>
          <w:color w:val="000000" w:themeColor="text1"/>
          <w:spacing w:val="22"/>
        </w:rPr>
        <w:t xml:space="preserve"> </w:t>
      </w:r>
      <w:r>
        <w:t xml:space="preserve">кодекса</w:t>
      </w:r>
      <w:r>
        <w:rPr>
          <w:spacing w:val="19"/>
        </w:rPr>
        <w:t xml:space="preserve"> </w:t>
      </w:r>
      <w:r>
        <w:t xml:space="preserve">Российской</w:t>
      </w:r>
      <w:r>
        <w:rPr>
          <w:spacing w:val="21"/>
        </w:rPr>
        <w:t xml:space="preserve"> </w:t>
      </w:r>
      <w:r>
        <w:t xml:space="preserve">Федерации</w:t>
      </w:r>
      <w:r>
        <w:rPr>
          <w:spacing w:val="20"/>
        </w:rPr>
        <w:t xml:space="preserve"> </w:t>
      </w:r>
      <w:r>
        <w:t xml:space="preserve">(часть вторая).</w:t>
      </w:r>
      <w:r/>
    </w:p>
    <w:p>
      <w:pPr>
        <w:ind w:left="-8" w:firstLine="717"/>
        <w:jc w:val="both"/>
      </w:pPr>
      <w:r/>
      <w:r/>
    </w:p>
    <w:sectPr>
      <w:footnotePr/>
      <w:endnotePr/>
      <w:type w:val="nextPage"/>
      <w:pgSz w:w="11906" w:h="16838" w:orient="portrait"/>
      <w:pgMar w:top="851" w:right="851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7"/>
    <w:next w:val="41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7"/>
    <w:next w:val="41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7"/>
    <w:next w:val="41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7"/>
    <w:next w:val="41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7"/>
    <w:next w:val="41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7"/>
    <w:next w:val="41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7"/>
    <w:next w:val="41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7"/>
    <w:next w:val="41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7"/>
    <w:next w:val="41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7"/>
    <w:next w:val="41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8"/>
    <w:link w:val="32"/>
    <w:uiPriority w:val="10"/>
    <w:rPr>
      <w:sz w:val="48"/>
      <w:szCs w:val="48"/>
    </w:rPr>
  </w:style>
  <w:style w:type="paragraph" w:styleId="34">
    <w:name w:val="Subtitle"/>
    <w:basedOn w:val="417"/>
    <w:next w:val="41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8"/>
    <w:link w:val="34"/>
    <w:uiPriority w:val="11"/>
    <w:rPr>
      <w:sz w:val="24"/>
      <w:szCs w:val="24"/>
    </w:rPr>
  </w:style>
  <w:style w:type="paragraph" w:styleId="36">
    <w:name w:val="Quote"/>
    <w:basedOn w:val="417"/>
    <w:next w:val="41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7"/>
    <w:next w:val="41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8"/>
    <w:link w:val="40"/>
    <w:uiPriority w:val="99"/>
  </w:style>
  <w:style w:type="paragraph" w:styleId="42">
    <w:name w:val="Footer"/>
    <w:basedOn w:val="41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8"/>
    <w:link w:val="42"/>
    <w:uiPriority w:val="99"/>
  </w:style>
  <w:style w:type="paragraph" w:styleId="44">
    <w:name w:val="Caption"/>
    <w:basedOn w:val="417"/>
    <w:next w:val="4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8"/>
    <w:uiPriority w:val="99"/>
    <w:unhideWhenUsed/>
    <w:rPr>
      <w:vertAlign w:val="superscript"/>
    </w:rPr>
  </w:style>
  <w:style w:type="paragraph" w:styleId="176">
    <w:name w:val="endnote text"/>
    <w:basedOn w:val="41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8"/>
    <w:uiPriority w:val="99"/>
    <w:semiHidden/>
    <w:unhideWhenUsed/>
    <w:rPr>
      <w:vertAlign w:val="superscript"/>
    </w:rPr>
  </w:style>
  <w:style w:type="paragraph" w:styleId="179">
    <w:name w:val="toc 1"/>
    <w:basedOn w:val="417"/>
    <w:next w:val="41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7"/>
    <w:next w:val="41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7"/>
    <w:next w:val="41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7"/>
    <w:next w:val="41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7"/>
    <w:next w:val="41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7"/>
    <w:next w:val="41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7"/>
    <w:next w:val="41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7"/>
    <w:next w:val="41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7"/>
    <w:next w:val="41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7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8" w:default="1">
    <w:name w:val="Default Paragraph Font"/>
    <w:uiPriority w:val="1"/>
    <w:semiHidden/>
    <w:unhideWhenUsed/>
  </w:style>
  <w:style w:type="table" w:styleId="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0" w:default="1">
    <w:name w:val="No List"/>
    <w:uiPriority w:val="99"/>
    <w:semiHidden/>
    <w:unhideWhenUsed/>
  </w:style>
  <w:style w:type="character" w:styleId="421">
    <w:name w:val="Hyperlink"/>
    <w:rPr>
      <w:color w:val="0000FF"/>
      <w:u w:val="single"/>
    </w:rPr>
  </w:style>
  <w:style w:type="paragraph" w:styleId="42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23" w:customStyle="1">
    <w:name w:val="Обычный;Обычный_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24">
    <w:name w:val="Body Text Indent"/>
    <w:basedOn w:val="417"/>
    <w:link w:val="425"/>
    <w:uiPriority w:val="99"/>
    <w:rPr>
      <w:sz w:val="20"/>
      <w:szCs w:val="20"/>
    </w:rPr>
    <w:pPr>
      <w:jc w:val="both"/>
    </w:pPr>
  </w:style>
  <w:style w:type="character" w:styleId="425" w:customStyle="1">
    <w:name w:val="Основной текст с отступом Знак"/>
    <w:basedOn w:val="418"/>
    <w:link w:val="424"/>
    <w:uiPriority w:val="99"/>
    <w:rPr>
      <w:rFonts w:ascii="Times New Roman" w:hAnsi="Times New Roman" w:cs="Times New Roman" w:eastAsia="Times New Roman"/>
      <w:sz w:val="24"/>
      <w:szCs w:val="20"/>
    </w:rPr>
  </w:style>
  <w:style w:type="paragraph" w:styleId="426">
    <w:name w:val="Body Text"/>
    <w:basedOn w:val="417"/>
    <w:link w:val="427"/>
    <w:rPr>
      <w:sz w:val="20"/>
      <w:szCs w:val="20"/>
      <w:lang w:eastAsia="ru-RU"/>
    </w:rPr>
    <w:pPr>
      <w:spacing w:after="120"/>
    </w:pPr>
  </w:style>
  <w:style w:type="character" w:styleId="427" w:customStyle="1">
    <w:name w:val="Основной текст Знак"/>
    <w:basedOn w:val="418"/>
    <w:link w:val="426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428">
    <w:name w:val="Balloon Text"/>
    <w:basedOn w:val="417"/>
    <w:link w:val="4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429" w:customStyle="1">
    <w:name w:val="Текст выноски Знак"/>
    <w:basedOn w:val="418"/>
    <w:link w:val="428"/>
    <w:uiPriority w:val="99"/>
    <w:semiHidden/>
    <w:rPr>
      <w:rFonts w:ascii="Segoe UI" w:hAnsi="Segoe UI" w:cs="Segoe UI" w:eastAsia="Times New Roman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consultantplus://offline/ref=9DEC2CDE4A9FB1613EA72E34D30A4CA58E44BAB26B36F63213B2D877DC45E9303B97919F981F776882CD12FDV7I" TargetMode="External"/><Relationship Id="rId11" Type="http://schemas.openxmlformats.org/officeDocument/2006/relationships/hyperlink" Target="consultantplus://offline/ref%3D45CAD77840989460C1F19F95DF4B58957112F98699C8DD5E3AC9B9BFDC98218C8A7E67A6D769E6C4w8VC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2026-05-19T08:01:00Z</dcterms:created>
  <dcterms:modified xsi:type="dcterms:W3CDTF">2026-05-26T11:50:34Z</dcterms:modified>
</cp:coreProperties>
</file>